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eastAsiaTheme="minorEastAsia"/>
          <w:sz w:val="36"/>
          <w:szCs w:val="28"/>
          <w:lang w:eastAsia="zh-CN"/>
        </w:rPr>
      </w:pPr>
      <w:r>
        <w:rPr>
          <w:rFonts w:hint="eastAsia"/>
          <w:sz w:val="36"/>
          <w:szCs w:val="28"/>
          <w:lang w:eastAsia="zh-CN"/>
        </w:rPr>
        <w:t>附件一：</w:t>
      </w:r>
    </w:p>
    <w:p>
      <w:pPr>
        <w:jc w:val="center"/>
        <w:rPr>
          <w:rFonts w:hint="eastAsia"/>
          <w:sz w:val="36"/>
          <w:szCs w:val="28"/>
        </w:rPr>
      </w:pPr>
      <w:r>
        <w:rPr>
          <w:rFonts w:hint="eastAsia"/>
          <w:sz w:val="36"/>
          <w:szCs w:val="28"/>
        </w:rPr>
        <w:t>河北轨道运输职业技术学院</w:t>
      </w:r>
      <w:r>
        <w:rPr>
          <w:rFonts w:hint="eastAsia"/>
          <w:sz w:val="36"/>
          <w:szCs w:val="28"/>
          <w:lang w:eastAsia="zh-CN"/>
        </w:rPr>
        <w:t>专业</w:t>
      </w:r>
      <w:r>
        <w:rPr>
          <w:rFonts w:hint="eastAsia"/>
          <w:sz w:val="36"/>
          <w:szCs w:val="28"/>
        </w:rPr>
        <w:t>带头人测评指标体系</w:t>
      </w:r>
    </w:p>
    <w:p>
      <w:pPr>
        <w:ind w:left="0" w:leftChars="0" w:firstLine="0" w:firstLineChars="0"/>
        <w:jc w:val="left"/>
        <w:rPr>
          <w:rFonts w:hint="eastAsia"/>
          <w:sz w:val="36"/>
          <w:szCs w:val="28"/>
        </w:rPr>
      </w:pPr>
      <w:r>
        <w:rPr>
          <w:rFonts w:hint="eastAsia"/>
          <w:sz w:val="28"/>
          <w:lang w:eastAsia="zh-CN"/>
        </w:rPr>
        <w:t>专业系别：</w:t>
      </w:r>
      <w:r>
        <w:rPr>
          <w:rFonts w:hint="eastAsia"/>
          <w:sz w:val="28"/>
        </w:rPr>
        <w:t xml:space="preserve">     </w:t>
      </w:r>
      <w:r>
        <w:rPr>
          <w:rFonts w:hint="eastAsia"/>
          <w:sz w:val="28"/>
          <w:lang w:val="en-US" w:eastAsia="zh-CN"/>
        </w:rPr>
        <w:t xml:space="preserve">       </w:t>
      </w:r>
      <w:r>
        <w:rPr>
          <w:rFonts w:hint="eastAsia"/>
          <w:sz w:val="28"/>
          <w:lang w:eastAsia="zh-CN"/>
        </w:rPr>
        <w:t>申报人：</w:t>
      </w:r>
      <w:r>
        <w:rPr>
          <w:rFonts w:hint="eastAsia"/>
          <w:sz w:val="28"/>
          <w:lang w:val="en-US" w:eastAsia="zh-CN"/>
        </w:rPr>
        <w:t xml:space="preserve">        职称：         专业：                 年龄：    政治面貌：</w:t>
      </w:r>
    </w:p>
    <w:tbl>
      <w:tblPr>
        <w:tblStyle w:val="4"/>
        <w:tblW w:w="1436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29"/>
        <w:gridCol w:w="10467"/>
        <w:gridCol w:w="1221"/>
        <w:gridCol w:w="14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03" w:hRule="atLeast"/>
          <w:jc w:val="center"/>
        </w:trPr>
        <w:tc>
          <w:tcPr>
            <w:tcW w:w="1229"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仿宋" w:hAnsi="仿宋" w:eastAsia="仿宋" w:cs="Times New Roman"/>
                <w:sz w:val="24"/>
                <w:szCs w:val="24"/>
              </w:rPr>
            </w:pPr>
            <w:r>
              <w:rPr>
                <w:rFonts w:hint="eastAsia" w:ascii="仿宋" w:hAnsi="仿宋" w:eastAsia="仿宋" w:cs="宋体"/>
                <w:sz w:val="24"/>
                <w:szCs w:val="24"/>
              </w:rPr>
              <w:t>项目</w:t>
            </w:r>
          </w:p>
        </w:tc>
        <w:tc>
          <w:tcPr>
            <w:tcW w:w="10467"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仿宋" w:hAnsi="仿宋" w:eastAsia="仿宋" w:cs="Times New Roman"/>
                <w:sz w:val="24"/>
                <w:szCs w:val="24"/>
              </w:rPr>
            </w:pPr>
            <w:r>
              <w:rPr>
                <w:rFonts w:hint="eastAsia" w:ascii="仿宋" w:hAnsi="仿宋" w:eastAsia="仿宋" w:cs="宋体"/>
                <w:sz w:val="24"/>
                <w:szCs w:val="24"/>
                <w:lang w:eastAsia="zh-CN"/>
              </w:rPr>
              <w:t>必备条件</w:t>
            </w:r>
          </w:p>
        </w:tc>
        <w:tc>
          <w:tcPr>
            <w:tcW w:w="2669"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必备条件满足确认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8" w:hRule="atLeast"/>
          <w:jc w:val="center"/>
        </w:trPr>
        <w:tc>
          <w:tcPr>
            <w:tcW w:w="1229"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仿宋" w:hAnsi="仿宋" w:eastAsia="仿宋" w:cs="Times New Roman"/>
                <w:sz w:val="24"/>
                <w:szCs w:val="24"/>
              </w:rPr>
            </w:pPr>
          </w:p>
        </w:tc>
        <w:tc>
          <w:tcPr>
            <w:tcW w:w="10467"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ascii="仿宋" w:hAnsi="仿宋" w:eastAsia="仿宋" w:cs="Times New Roman"/>
                <w:sz w:val="24"/>
                <w:szCs w:val="24"/>
              </w:rPr>
            </w:pPr>
          </w:p>
        </w:tc>
        <w:tc>
          <w:tcPr>
            <w:tcW w:w="1221"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本人确认</w:t>
            </w:r>
          </w:p>
        </w:tc>
        <w:tc>
          <w:tcPr>
            <w:tcW w:w="144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专业系确认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jc w:val="center"/>
        </w:trPr>
        <w:tc>
          <w:tcPr>
            <w:tcW w:w="1229" w:type="dxa"/>
            <w:tcBorders>
              <w:bottom w:val="single" w:color="auto" w:sz="4" w:space="0"/>
            </w:tcBorders>
            <w:vAlign w:val="center"/>
          </w:tcPr>
          <w:p>
            <w:pPr>
              <w:pStyle w:val="2"/>
              <w:keepNext w:val="0"/>
              <w:keepLines w:val="0"/>
              <w:pageBreakBefore w:val="0"/>
              <w:widowControl w:val="0"/>
              <w:kinsoku/>
              <w:wordWrap/>
              <w:overflowPunct/>
              <w:topLinePunct w:val="0"/>
              <w:autoSpaceDE/>
              <w:autoSpaceDN/>
              <w:bidi w:val="0"/>
              <w:adjustRightInd w:val="0"/>
              <w:snapToGrid w:val="0"/>
              <w:spacing w:line="320" w:lineRule="exact"/>
              <w:ind w:firstLine="0" w:firstLineChars="0"/>
              <w:jc w:val="left"/>
              <w:textAlignment w:val="auto"/>
              <w:outlineLvl w:val="9"/>
              <w:rPr>
                <w:rFonts w:hint="eastAsia" w:ascii="仿宋" w:hAnsi="仿宋" w:eastAsia="仿宋" w:cs="宋体"/>
                <w:sz w:val="24"/>
                <w:szCs w:val="24"/>
                <w:shd w:val="clear" w:color="auto" w:fill="FFFFFF"/>
              </w:rPr>
            </w:pPr>
            <w:r>
              <w:rPr>
                <w:rFonts w:hint="eastAsia" w:ascii="仿宋" w:hAnsi="仿宋" w:eastAsia="仿宋" w:cs="宋体"/>
                <w:sz w:val="24"/>
                <w:szCs w:val="24"/>
                <w:shd w:val="clear" w:color="auto" w:fill="FFFFFF"/>
              </w:rPr>
              <w:t>政治思想</w:t>
            </w:r>
            <w:r>
              <w:rPr>
                <w:rFonts w:hint="eastAsia" w:ascii="仿宋" w:hAnsi="仿宋" w:eastAsia="仿宋" w:cs="宋体"/>
                <w:sz w:val="24"/>
                <w:szCs w:val="24"/>
                <w:shd w:val="clear" w:color="auto" w:fill="FFFFFF"/>
                <w:lang w:eastAsia="zh-CN"/>
              </w:rPr>
              <w:t>基本</w:t>
            </w:r>
            <w:r>
              <w:rPr>
                <w:rFonts w:hint="eastAsia" w:ascii="仿宋" w:hAnsi="仿宋" w:eastAsia="仿宋" w:cs="宋体"/>
                <w:sz w:val="24"/>
                <w:szCs w:val="24"/>
                <w:shd w:val="clear" w:color="auto" w:fill="FFFFFF"/>
              </w:rPr>
              <w:t>素质</w:t>
            </w:r>
          </w:p>
        </w:tc>
        <w:tc>
          <w:tcPr>
            <w:tcW w:w="10467"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80" w:firstLineChars="200"/>
              <w:jc w:val="both"/>
              <w:textAlignment w:val="auto"/>
              <w:outlineLvl w:val="9"/>
              <w:rPr>
                <w:rFonts w:hint="eastAsia" w:ascii="仿宋" w:hAnsi="仿宋" w:eastAsia="仿宋" w:cs="宋体"/>
                <w:sz w:val="24"/>
                <w:szCs w:val="24"/>
                <w:shd w:val="clear" w:color="auto" w:fill="FFFFFF"/>
                <w:lang w:val="en-US" w:eastAsia="zh-CN"/>
              </w:rPr>
            </w:pPr>
            <w:r>
              <w:rPr>
                <w:rFonts w:hint="eastAsia" w:ascii="仿宋" w:hAnsi="仿宋" w:eastAsia="仿宋" w:cs="宋体"/>
                <w:sz w:val="24"/>
                <w:szCs w:val="24"/>
                <w:shd w:val="clear" w:color="auto" w:fill="FFFFFF"/>
                <w:lang w:val="en-US" w:eastAsia="zh-CN"/>
              </w:rPr>
              <w:t>忠诚党的职教事业，师德高尚，治学严谨，具有良好的社会公德和职业道德，为人师表，教书育人，教风端正，具有较强的协作能力和组织管理能力。</w:t>
            </w:r>
          </w:p>
        </w:tc>
        <w:tc>
          <w:tcPr>
            <w:tcW w:w="1221"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20" w:lineRule="exact"/>
              <w:ind w:firstLine="0" w:firstLineChars="0"/>
              <w:textAlignment w:val="auto"/>
              <w:outlineLvl w:val="9"/>
              <w:rPr>
                <w:rFonts w:hint="eastAsia" w:ascii="仿宋" w:hAnsi="仿宋" w:eastAsia="仿宋" w:cs="宋体"/>
                <w:sz w:val="24"/>
                <w:szCs w:val="24"/>
                <w:shd w:val="clear" w:color="auto" w:fill="FFFFFF"/>
              </w:rPr>
            </w:pPr>
          </w:p>
        </w:tc>
        <w:tc>
          <w:tcPr>
            <w:tcW w:w="1448"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20" w:lineRule="exact"/>
              <w:ind w:firstLine="0" w:firstLineChars="0"/>
              <w:textAlignment w:val="auto"/>
              <w:outlineLvl w:val="9"/>
              <w:rPr>
                <w:rFonts w:hint="eastAsia" w:ascii="仿宋" w:hAnsi="仿宋" w:eastAsia="仿宋" w:cs="宋体"/>
                <w:sz w:val="24"/>
                <w:szCs w:val="24"/>
                <w:shd w:val="clear"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68" w:hRule="atLeast"/>
          <w:jc w:val="center"/>
        </w:trPr>
        <w:tc>
          <w:tcPr>
            <w:tcW w:w="1229"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宋体"/>
                <w:sz w:val="24"/>
                <w:szCs w:val="24"/>
              </w:rPr>
            </w:pPr>
            <w:r>
              <w:rPr>
                <w:rFonts w:hint="eastAsia" w:ascii="仿宋" w:hAnsi="仿宋" w:eastAsia="仿宋" w:cs="宋体"/>
                <w:sz w:val="24"/>
                <w:szCs w:val="24"/>
              </w:rPr>
              <w:t>学历职称</w:t>
            </w:r>
            <w:r>
              <w:rPr>
                <w:rFonts w:hint="eastAsia" w:ascii="仿宋" w:hAnsi="仿宋" w:eastAsia="仿宋" w:cs="宋体"/>
                <w:sz w:val="24"/>
                <w:szCs w:val="24"/>
                <w:lang w:eastAsia="zh-CN"/>
              </w:rPr>
              <w:t>资历</w:t>
            </w:r>
          </w:p>
        </w:tc>
        <w:tc>
          <w:tcPr>
            <w:tcW w:w="104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80" w:firstLineChars="200"/>
              <w:jc w:val="both"/>
              <w:textAlignment w:val="auto"/>
              <w:outlineLvl w:val="9"/>
              <w:rPr>
                <w:rFonts w:hint="eastAsia" w:ascii="仿宋" w:hAnsi="仿宋" w:eastAsia="仿宋"/>
                <w:sz w:val="24"/>
                <w:szCs w:val="24"/>
                <w:lang w:val="en-US" w:eastAsia="zh-CN"/>
              </w:rPr>
            </w:pPr>
            <w:r>
              <w:rPr>
                <w:rFonts w:hint="eastAsia" w:ascii="仿宋" w:hAnsi="仿宋" w:eastAsia="仿宋"/>
                <w:sz w:val="24"/>
                <w:szCs w:val="24"/>
                <w:lang w:val="en-US" w:eastAsia="zh-CN"/>
              </w:rPr>
              <w:t>具有本科及以上学历、副高级及以上专业技术职称；从事教学工作六年及以上；担任过该专业两门及以上专业课程教学工作；至少担任过该专业一门专业核心课程教学工作。</w:t>
            </w:r>
          </w:p>
        </w:tc>
        <w:tc>
          <w:tcPr>
            <w:tcW w:w="1221"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20" w:lineRule="exact"/>
              <w:ind w:firstLine="0" w:firstLineChars="0"/>
              <w:textAlignment w:val="auto"/>
              <w:outlineLvl w:val="9"/>
              <w:rPr>
                <w:rFonts w:hint="eastAsia" w:ascii="仿宋" w:hAnsi="仿宋" w:eastAsia="仿宋" w:cs="宋体"/>
                <w:sz w:val="24"/>
                <w:szCs w:val="24"/>
                <w:shd w:val="clear" w:color="auto" w:fill="FFFFFF"/>
              </w:rPr>
            </w:pPr>
          </w:p>
        </w:tc>
        <w:tc>
          <w:tcPr>
            <w:tcW w:w="1448"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20" w:lineRule="exact"/>
              <w:ind w:firstLine="0" w:firstLineChars="0"/>
              <w:textAlignment w:val="auto"/>
              <w:outlineLvl w:val="9"/>
              <w:rPr>
                <w:rFonts w:hint="eastAsia" w:ascii="仿宋" w:hAnsi="仿宋" w:eastAsia="仿宋" w:cs="宋体"/>
                <w:sz w:val="24"/>
                <w:szCs w:val="24"/>
                <w:shd w:val="clear"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229"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教学</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能力</w:t>
            </w:r>
          </w:p>
        </w:tc>
        <w:tc>
          <w:tcPr>
            <w:tcW w:w="104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80" w:firstLineChars="200"/>
              <w:jc w:val="both"/>
              <w:textAlignment w:val="auto"/>
              <w:outlineLvl w:val="9"/>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教育教学理念先进、技艺精湛、业绩突出，课堂教学效果优秀，在学院教学质量测评中本系排名近三年均保持在前30%，近三年年均教学工作量不少于300课时。</w:t>
            </w:r>
          </w:p>
        </w:tc>
        <w:tc>
          <w:tcPr>
            <w:tcW w:w="1221"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20" w:lineRule="exact"/>
              <w:ind w:firstLine="0"/>
              <w:textAlignment w:val="auto"/>
              <w:outlineLvl w:val="9"/>
              <w:rPr>
                <w:rFonts w:hint="eastAsia" w:ascii="仿宋" w:hAnsi="仿宋" w:eastAsia="仿宋"/>
                <w:color w:val="000000"/>
                <w:sz w:val="24"/>
                <w:szCs w:val="24"/>
                <w:shd w:val="clear" w:color="auto" w:fill="FFFFFF"/>
                <w:lang w:val="en-US" w:eastAsia="zh-CN"/>
              </w:rPr>
            </w:pPr>
          </w:p>
        </w:tc>
        <w:tc>
          <w:tcPr>
            <w:tcW w:w="1448" w:type="dxa"/>
            <w:vAlign w:val="center"/>
          </w:tcPr>
          <w:p>
            <w:pPr>
              <w:pStyle w:val="2"/>
              <w:keepNext w:val="0"/>
              <w:keepLines w:val="0"/>
              <w:pageBreakBefore w:val="0"/>
              <w:widowControl w:val="0"/>
              <w:kinsoku/>
              <w:wordWrap/>
              <w:overflowPunct/>
              <w:topLinePunct w:val="0"/>
              <w:autoSpaceDE/>
              <w:autoSpaceDN/>
              <w:bidi w:val="0"/>
              <w:adjustRightInd w:val="0"/>
              <w:snapToGrid w:val="0"/>
              <w:spacing w:line="320" w:lineRule="exact"/>
              <w:ind w:firstLine="0"/>
              <w:textAlignment w:val="auto"/>
              <w:outlineLvl w:val="9"/>
              <w:rPr>
                <w:rFonts w:hint="eastAsia" w:ascii="仿宋" w:hAnsi="仿宋" w:eastAsia="仿宋"/>
                <w:color w:val="000000"/>
                <w:sz w:val="24"/>
                <w:szCs w:val="24"/>
                <w:shd w:val="clear" w:color="auto" w:fill="FFFFFF"/>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1229"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专业背景</w:t>
            </w:r>
          </w:p>
        </w:tc>
        <w:tc>
          <w:tcPr>
            <w:tcW w:w="104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80" w:firstLineChars="200"/>
              <w:jc w:val="both"/>
              <w:textAlignment w:val="auto"/>
              <w:outlineLvl w:val="9"/>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具备“双师素质”，在本专业领域既具备扎实的专业理论功底，又具有较强的专业实践能力和较丰富的实际工作经验，参加企业实践近五年累计不少于六个月，熟知本专业领域的最新发展动态。</w:t>
            </w:r>
          </w:p>
        </w:tc>
        <w:tc>
          <w:tcPr>
            <w:tcW w:w="1221"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仿宋" w:hAnsi="仿宋" w:eastAsia="仿宋" w:cs="Times New Roman"/>
                <w:color w:val="000000"/>
                <w:sz w:val="24"/>
                <w:szCs w:val="24"/>
                <w:shd w:val="clear" w:color="auto" w:fill="FFFFFF"/>
              </w:rPr>
            </w:pPr>
          </w:p>
        </w:tc>
        <w:tc>
          <w:tcPr>
            <w:tcW w:w="144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仿宋" w:hAnsi="仿宋" w:eastAsia="仿宋" w:cs="Times New Roman"/>
                <w:color w:val="000000"/>
                <w:sz w:val="24"/>
                <w:szCs w:val="24"/>
                <w:shd w:val="clear"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40" w:hRule="atLeast"/>
          <w:jc w:val="center"/>
        </w:trPr>
        <w:tc>
          <w:tcPr>
            <w:tcW w:w="1229"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宋体"/>
                <w:sz w:val="24"/>
                <w:szCs w:val="24"/>
                <w:lang w:eastAsia="zh-CN"/>
              </w:rPr>
            </w:pPr>
            <w:r>
              <w:rPr>
                <w:rFonts w:hint="eastAsia" w:ascii="仿宋" w:hAnsi="仿宋" w:eastAsia="仿宋" w:cs="宋体"/>
                <w:sz w:val="24"/>
                <w:szCs w:val="24"/>
                <w:lang w:eastAsia="zh-CN"/>
              </w:rPr>
              <w:t>特定业务</w:t>
            </w:r>
          </w:p>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Times New Roman"/>
                <w:sz w:val="24"/>
                <w:szCs w:val="24"/>
                <w:lang w:eastAsia="zh-CN"/>
              </w:rPr>
            </w:pPr>
            <w:r>
              <w:rPr>
                <w:rFonts w:hint="eastAsia" w:ascii="仿宋" w:hAnsi="仿宋" w:eastAsia="仿宋" w:cs="宋体"/>
                <w:sz w:val="24"/>
                <w:szCs w:val="24"/>
                <w:lang w:eastAsia="zh-CN"/>
              </w:rPr>
              <w:t>能力</w:t>
            </w:r>
          </w:p>
        </w:tc>
        <w:tc>
          <w:tcPr>
            <w:tcW w:w="104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80" w:firstLineChars="200"/>
              <w:jc w:val="both"/>
              <w:textAlignment w:val="auto"/>
              <w:outlineLvl w:val="9"/>
              <w:rPr>
                <w:rFonts w:ascii="仿宋" w:hAnsi="仿宋" w:eastAsia="仿宋" w:cs="Times New Roman"/>
                <w:sz w:val="24"/>
                <w:szCs w:val="24"/>
              </w:rPr>
            </w:pPr>
            <w:r>
              <w:rPr>
                <w:rFonts w:hint="eastAsia" w:ascii="仿宋" w:hAnsi="仿宋" w:eastAsia="仿宋" w:cs="Times New Roman"/>
                <w:sz w:val="24"/>
                <w:szCs w:val="24"/>
              </w:rPr>
              <w:t>有系统扎实的教学理论知识和丰富的教学经验；基于本专业领域内的发展动态，曾经主持制定（修订）和解读本专业人才培养方案。</w:t>
            </w:r>
          </w:p>
        </w:tc>
        <w:tc>
          <w:tcPr>
            <w:tcW w:w="1221"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仿宋" w:hAnsi="仿宋" w:eastAsia="仿宋" w:cs="Times New Roman"/>
                <w:color w:val="000000"/>
                <w:sz w:val="24"/>
                <w:szCs w:val="24"/>
                <w:shd w:val="clear" w:color="auto" w:fill="FFFFFF"/>
              </w:rPr>
            </w:pPr>
          </w:p>
        </w:tc>
        <w:tc>
          <w:tcPr>
            <w:tcW w:w="144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仿宋" w:hAnsi="仿宋" w:eastAsia="仿宋" w:cs="Times New Roman"/>
                <w:color w:val="000000"/>
                <w:sz w:val="24"/>
                <w:szCs w:val="24"/>
                <w:shd w:val="clear"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9" w:hRule="atLeast"/>
          <w:jc w:val="center"/>
        </w:trPr>
        <w:tc>
          <w:tcPr>
            <w:tcW w:w="1229" w:type="dxa"/>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宋体"/>
                <w:color w:val="000000"/>
                <w:sz w:val="24"/>
                <w:szCs w:val="24"/>
                <w:shd w:val="clear" w:color="auto" w:fill="FFFFFF"/>
                <w:lang w:val="en-US" w:eastAsia="zh-CN"/>
              </w:rPr>
            </w:pPr>
            <w:r>
              <w:rPr>
                <w:rFonts w:hint="eastAsia" w:ascii="仿宋" w:hAnsi="仿宋" w:eastAsia="仿宋" w:cs="宋体"/>
                <w:color w:val="000000"/>
                <w:sz w:val="24"/>
                <w:szCs w:val="24"/>
                <w:shd w:val="clear" w:color="auto" w:fill="FFFFFF"/>
                <w:lang w:val="en-US" w:eastAsia="zh-CN"/>
              </w:rPr>
              <w:t>教学研究能力</w:t>
            </w:r>
          </w:p>
        </w:tc>
        <w:tc>
          <w:tcPr>
            <w:tcW w:w="104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80" w:firstLineChars="200"/>
              <w:jc w:val="both"/>
              <w:textAlignment w:val="auto"/>
              <w:outlineLvl w:val="9"/>
              <w:rPr>
                <w:rFonts w:hint="eastAsia" w:ascii="仿宋" w:hAnsi="仿宋" w:eastAsia="仿宋" w:cs="Times New Roman"/>
                <w:sz w:val="24"/>
                <w:szCs w:val="24"/>
                <w:lang w:eastAsia="zh-CN"/>
              </w:rPr>
            </w:pPr>
            <w:r>
              <w:rPr>
                <w:rFonts w:hint="eastAsia" w:ascii="仿宋" w:hAnsi="仿宋" w:eastAsia="仿宋" w:cs="Times New Roman"/>
                <w:sz w:val="24"/>
                <w:szCs w:val="24"/>
                <w:lang w:eastAsia="zh-CN"/>
              </w:rPr>
              <w:t>主编、参编过公开出版的本专业国家规划教材或与专业相关的书籍，并在国家级或核心期刊以第一作者（或通讯作者）发表过专业研究或教学研究论文，主持过课题研究</w:t>
            </w:r>
            <w:bookmarkStart w:id="0" w:name="_GoBack"/>
            <w:bookmarkEnd w:id="0"/>
            <w:r>
              <w:rPr>
                <w:rFonts w:hint="eastAsia" w:ascii="仿宋" w:hAnsi="仿宋" w:eastAsia="仿宋" w:cs="Times New Roman"/>
                <w:sz w:val="24"/>
                <w:szCs w:val="24"/>
                <w:lang w:eastAsia="zh-CN"/>
              </w:rPr>
              <w:t>。</w:t>
            </w:r>
          </w:p>
        </w:tc>
        <w:tc>
          <w:tcPr>
            <w:tcW w:w="1221"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仿宋" w:hAnsi="仿宋" w:eastAsia="仿宋" w:cs="Times New Roman"/>
                <w:color w:val="000000"/>
                <w:sz w:val="24"/>
                <w:szCs w:val="24"/>
                <w:shd w:val="clear" w:color="auto" w:fill="FFFFFF"/>
              </w:rPr>
            </w:pPr>
          </w:p>
        </w:tc>
        <w:tc>
          <w:tcPr>
            <w:tcW w:w="144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仿宋" w:hAnsi="仿宋" w:eastAsia="仿宋" w:cs="Times New Roman"/>
                <w:color w:val="000000"/>
                <w:sz w:val="24"/>
                <w:szCs w:val="24"/>
                <w:shd w:val="clear" w:color="auto" w:fill="FFFFFF"/>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4" w:hRule="atLeast"/>
          <w:jc w:val="center"/>
        </w:trPr>
        <w:tc>
          <w:tcPr>
            <w:tcW w:w="1229"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jc w:val="center"/>
              <w:textAlignment w:val="auto"/>
              <w:outlineLvl w:val="9"/>
              <w:rPr>
                <w:rFonts w:hint="eastAsia" w:ascii="仿宋" w:hAnsi="仿宋" w:eastAsia="仿宋" w:cs="Times New Roman"/>
                <w:color w:val="000000"/>
                <w:sz w:val="24"/>
                <w:szCs w:val="24"/>
                <w:shd w:val="clear" w:color="auto" w:fill="FFFFFF"/>
                <w:lang w:eastAsia="zh-CN"/>
              </w:rPr>
            </w:pPr>
            <w:r>
              <w:rPr>
                <w:rFonts w:hint="eastAsia" w:ascii="仿宋" w:hAnsi="仿宋" w:eastAsia="仿宋" w:cs="Times New Roman"/>
                <w:color w:val="000000"/>
                <w:sz w:val="24"/>
                <w:szCs w:val="24"/>
                <w:shd w:val="clear" w:color="auto" w:fill="FFFFFF"/>
                <w:lang w:eastAsia="zh-CN"/>
              </w:rPr>
              <w:t>培养教师</w:t>
            </w:r>
          </w:p>
        </w:tc>
        <w:tc>
          <w:tcPr>
            <w:tcW w:w="10467"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80" w:firstLineChars="200"/>
              <w:jc w:val="both"/>
              <w:textAlignment w:val="auto"/>
              <w:outlineLvl w:val="9"/>
              <w:rPr>
                <w:rFonts w:hint="eastAsia" w:ascii="仿宋" w:hAnsi="仿宋" w:eastAsia="仿宋"/>
                <w:sz w:val="24"/>
                <w:szCs w:val="24"/>
                <w:lang w:val="en-US" w:eastAsia="zh-CN"/>
              </w:rPr>
            </w:pPr>
            <w:r>
              <w:rPr>
                <w:rFonts w:hint="eastAsia" w:ascii="仿宋" w:hAnsi="仿宋" w:eastAsia="仿宋"/>
                <w:sz w:val="24"/>
                <w:szCs w:val="24"/>
                <w:lang w:val="en-US" w:eastAsia="zh-CN"/>
              </w:rPr>
              <w:t>从思想上、业务上关心和帮助他人，具备培养和指导其他教师的能力；具有强烈的责任感和奉献精神，为提高教师的业务水平做出了显著成绩；培养指导的青年教师至少有一人在院级或院级以上各类教学比赛中获奖。</w:t>
            </w:r>
          </w:p>
        </w:tc>
        <w:tc>
          <w:tcPr>
            <w:tcW w:w="1221"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仿宋" w:hAnsi="仿宋" w:eastAsia="仿宋" w:cs="宋体"/>
                <w:color w:val="000000"/>
                <w:sz w:val="24"/>
                <w:szCs w:val="24"/>
                <w:shd w:val="clear" w:color="auto" w:fill="FFFFFF"/>
              </w:rPr>
            </w:pPr>
          </w:p>
        </w:tc>
        <w:tc>
          <w:tcPr>
            <w:tcW w:w="1448" w:type="dxa"/>
            <w:vAlign w:val="center"/>
          </w:tcPr>
          <w:p>
            <w:pPr>
              <w:keepNext w:val="0"/>
              <w:keepLines w:val="0"/>
              <w:pageBreakBefore w:val="0"/>
              <w:widowControl w:val="0"/>
              <w:kinsoku/>
              <w:wordWrap/>
              <w:overflowPunct/>
              <w:topLinePunct w:val="0"/>
              <w:autoSpaceDE/>
              <w:autoSpaceDN/>
              <w:bidi w:val="0"/>
              <w:adjustRightInd w:val="0"/>
              <w:snapToGrid w:val="0"/>
              <w:spacing w:line="320" w:lineRule="exact"/>
              <w:textAlignment w:val="auto"/>
              <w:outlineLvl w:val="9"/>
              <w:rPr>
                <w:rFonts w:ascii="仿宋" w:hAnsi="仿宋" w:eastAsia="仿宋" w:cs="宋体"/>
                <w:color w:val="000000"/>
                <w:sz w:val="24"/>
                <w:szCs w:val="24"/>
                <w:shd w:val="clear" w:color="auto" w:fill="FFFFFF"/>
              </w:rPr>
            </w:pPr>
          </w:p>
        </w:tc>
      </w:tr>
    </w:tbl>
    <w:p>
      <w:pPr>
        <w:keepNext w:val="0"/>
        <w:keepLines w:val="0"/>
        <w:pageBreakBefore w:val="0"/>
        <w:widowControl w:val="0"/>
        <w:kinsoku/>
        <w:wordWrap/>
        <w:overflowPunct/>
        <w:topLinePunct w:val="0"/>
        <w:autoSpaceDE/>
        <w:autoSpaceDN/>
        <w:bidi w:val="0"/>
        <w:adjustRightInd w:val="0"/>
        <w:snapToGrid w:val="0"/>
        <w:spacing w:line="320" w:lineRule="exact"/>
        <w:ind w:left="0" w:leftChars="0" w:firstLine="218" w:firstLineChars="91"/>
        <w:textAlignment w:val="auto"/>
        <w:outlineLvl w:val="9"/>
        <w:rPr>
          <w:rFonts w:hint="eastAsia"/>
          <w:lang w:val="en-GB" w:eastAsia="zh-CN"/>
        </w:rPr>
      </w:pPr>
      <w:r>
        <w:rPr>
          <w:rFonts w:hint="eastAsia" w:ascii="仿宋" w:hAnsi="仿宋" w:eastAsia="仿宋" w:cs="Times New Roman"/>
          <w:sz w:val="24"/>
          <w:szCs w:val="24"/>
          <w:lang w:eastAsia="zh-CN"/>
        </w:rPr>
        <w:t>注：</w:t>
      </w:r>
      <w:r>
        <w:rPr>
          <w:rFonts w:hint="default" w:ascii="仿宋" w:hAnsi="仿宋" w:eastAsia="仿宋" w:cs="Times New Roman"/>
          <w:sz w:val="24"/>
          <w:szCs w:val="24"/>
          <w:lang w:val="en-GB" w:eastAsia="zh-CN"/>
        </w:rPr>
        <w:t>1.</w:t>
      </w:r>
      <w:r>
        <w:rPr>
          <w:rFonts w:hint="eastAsia" w:ascii="仿宋" w:hAnsi="仿宋" w:eastAsia="仿宋" w:cs="Times New Roman"/>
          <w:sz w:val="24"/>
          <w:szCs w:val="24"/>
          <w:lang w:val="en-GB" w:eastAsia="zh-CN"/>
        </w:rPr>
        <w:t>“确认”栏不能空——在满足条件的项目的右侧对应栏内画“</w:t>
      </w:r>
      <w:r>
        <w:rPr>
          <w:rFonts w:hint="default" w:ascii="Arial" w:hAnsi="Arial" w:eastAsia="仿宋" w:cs="Arial"/>
          <w:sz w:val="24"/>
          <w:szCs w:val="24"/>
          <w:lang w:val="en-GB" w:eastAsia="zh-CN"/>
        </w:rPr>
        <w:t>√</w:t>
      </w:r>
      <w:r>
        <w:rPr>
          <w:rFonts w:hint="eastAsia" w:ascii="仿宋" w:hAnsi="仿宋" w:eastAsia="仿宋" w:cs="Times New Roman"/>
          <w:sz w:val="24"/>
          <w:szCs w:val="24"/>
          <w:lang w:val="en-GB" w:eastAsia="zh-CN"/>
        </w:rPr>
        <w:t>”；在不满足条件的项目的右侧对应栏内画“</w:t>
      </w:r>
      <w:r>
        <w:rPr>
          <w:rFonts w:hint="default" w:ascii="Arial" w:hAnsi="Arial" w:eastAsia="仿宋" w:cs="Arial"/>
          <w:sz w:val="24"/>
          <w:szCs w:val="24"/>
          <w:lang w:val="en-GB" w:eastAsia="zh-CN"/>
        </w:rPr>
        <w:t>×</w:t>
      </w:r>
      <w:r>
        <w:rPr>
          <w:rFonts w:hint="eastAsia" w:ascii="仿宋" w:hAnsi="仿宋" w:eastAsia="仿宋" w:cs="Times New Roman"/>
          <w:sz w:val="24"/>
          <w:szCs w:val="24"/>
          <w:lang w:val="en-GB" w:eastAsia="zh-CN"/>
        </w:rPr>
        <w:t>”。</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218" w:firstLineChars="91"/>
        <w:jc w:val="both"/>
        <w:textAlignment w:val="auto"/>
        <w:outlineLvl w:val="9"/>
        <w:rPr>
          <w:rFonts w:hint="eastAsia" w:ascii="仿宋" w:hAnsi="仿宋" w:eastAsia="仿宋" w:cs="Times New Roman"/>
          <w:sz w:val="24"/>
          <w:szCs w:val="24"/>
          <w:lang w:eastAsia="zh-CN"/>
        </w:rPr>
      </w:pP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218" w:firstLineChars="91"/>
        <w:jc w:val="both"/>
        <w:textAlignment w:val="auto"/>
        <w:outlineLvl w:val="9"/>
        <w:rPr>
          <w:rFonts w:hint="eastAsia" w:ascii="仿宋" w:hAnsi="仿宋" w:eastAsia="仿宋" w:cs="Times New Roman"/>
          <w:sz w:val="24"/>
          <w:szCs w:val="24"/>
          <w:u w:val="single"/>
          <w:lang w:val="en-US" w:eastAsia="zh-CN"/>
        </w:rPr>
      </w:pPr>
      <w:r>
        <w:rPr>
          <w:rFonts w:hint="default" w:ascii="仿宋" w:hAnsi="仿宋" w:eastAsia="仿宋" w:cs="Times New Roman"/>
          <w:sz w:val="24"/>
          <w:szCs w:val="24"/>
          <w:lang w:val="en-GB" w:eastAsia="zh-CN"/>
        </w:rPr>
        <w:t xml:space="preserve">    </w:t>
      </w:r>
      <w:r>
        <w:rPr>
          <w:rFonts w:hint="eastAsia" w:ascii="仿宋" w:hAnsi="仿宋" w:eastAsia="仿宋" w:cs="Times New Roman"/>
          <w:sz w:val="24"/>
          <w:szCs w:val="24"/>
          <w:lang w:val="en-US" w:eastAsia="zh-CN"/>
        </w:rPr>
        <w:t>2.经再次确认</w:t>
      </w:r>
      <w:r>
        <w:rPr>
          <w:rFonts w:hint="eastAsia" w:ascii="仿宋" w:hAnsi="仿宋" w:eastAsia="仿宋" w:cs="Times New Roman"/>
          <w:sz w:val="24"/>
          <w:szCs w:val="24"/>
          <w:lang w:val="en-GB" w:eastAsia="zh-CN"/>
        </w:rPr>
        <w:t>“本人确认”栏内</w:t>
      </w:r>
      <w:r>
        <w:rPr>
          <w:rFonts w:hint="eastAsia" w:ascii="仿宋" w:hAnsi="仿宋" w:eastAsia="仿宋" w:cs="Times New Roman"/>
          <w:sz w:val="24"/>
          <w:szCs w:val="24"/>
          <w:lang w:val="en-US" w:eastAsia="zh-CN"/>
        </w:rPr>
        <w:t>的判断都是基于本人情况的正确判断，我愿为此承担责任。申报人签字：</w:t>
      </w:r>
      <w:r>
        <w:rPr>
          <w:rFonts w:hint="eastAsia" w:ascii="仿宋" w:hAnsi="仿宋" w:eastAsia="仿宋" w:cs="Times New Roman"/>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218" w:firstLineChars="91"/>
        <w:jc w:val="both"/>
        <w:textAlignment w:val="auto"/>
        <w:outlineLvl w:val="9"/>
        <w:rPr>
          <w:rFonts w:hint="eastAsia" w:ascii="仿宋" w:hAnsi="仿宋" w:eastAsia="仿宋" w:cs="Times New Roman"/>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218" w:firstLineChars="91"/>
        <w:jc w:val="both"/>
        <w:textAlignment w:val="auto"/>
        <w:outlineLvl w:val="9"/>
        <w:rPr>
          <w:rFonts w:hint="eastAsia" w:ascii="仿宋" w:hAnsi="仿宋" w:eastAsia="仿宋" w:cs="Times New Roman"/>
          <w:sz w:val="24"/>
          <w:szCs w:val="24"/>
          <w:u w:val="single"/>
          <w:lang w:val="en-US" w:eastAsia="zh-CN"/>
        </w:rPr>
      </w:pPr>
      <w:r>
        <w:rPr>
          <w:rFonts w:hint="eastAsia" w:ascii="仿宋" w:hAnsi="仿宋" w:eastAsia="仿宋" w:cs="Times New Roman"/>
          <w:sz w:val="24"/>
          <w:szCs w:val="24"/>
          <w:lang w:val="en-US" w:eastAsia="zh-CN"/>
        </w:rPr>
        <w:t xml:space="preserve">    3.经再次确认</w:t>
      </w:r>
      <w:r>
        <w:rPr>
          <w:rFonts w:hint="eastAsia" w:ascii="仿宋" w:hAnsi="仿宋" w:eastAsia="仿宋" w:cs="Times New Roman"/>
          <w:sz w:val="24"/>
          <w:szCs w:val="24"/>
          <w:lang w:val="en-GB" w:eastAsia="zh-CN"/>
        </w:rPr>
        <w:t>“专业系确认”栏内</w:t>
      </w:r>
      <w:r>
        <w:rPr>
          <w:rFonts w:hint="eastAsia" w:ascii="仿宋" w:hAnsi="仿宋" w:eastAsia="仿宋" w:cs="Times New Roman"/>
          <w:sz w:val="24"/>
          <w:szCs w:val="24"/>
          <w:lang w:val="en-US" w:eastAsia="zh-CN"/>
        </w:rPr>
        <w:t>的判断都是基于真实情况的正确判断，我愿为此承担责任。系主要负责人签字：</w:t>
      </w:r>
      <w:r>
        <w:rPr>
          <w:rFonts w:hint="eastAsia" w:ascii="仿宋" w:hAnsi="仿宋" w:eastAsia="仿宋" w:cs="Times New Roman"/>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320" w:lineRule="exact"/>
        <w:ind w:right="0" w:rightChars="0"/>
        <w:jc w:val="both"/>
        <w:textAlignment w:val="auto"/>
        <w:outlineLvl w:val="9"/>
        <w:rPr>
          <w:rFonts w:hint="eastAsia" w:ascii="仿宋" w:hAnsi="仿宋" w:eastAsia="仿宋" w:cs="Times New Roman"/>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20" w:lineRule="exact"/>
        <w:ind w:left="0" w:leftChars="0" w:right="0" w:rightChars="0" w:firstLine="480" w:firstLineChars="200"/>
        <w:jc w:val="right"/>
        <w:textAlignment w:val="auto"/>
        <w:outlineLvl w:val="9"/>
        <w:rPr>
          <w:rFonts w:hint="eastAsia" w:ascii="宋体" w:hAnsi="宋体" w:eastAsia="宋体" w:cs="宋体"/>
          <w:sz w:val="24"/>
          <w:szCs w:val="24"/>
          <w:u w:val="none"/>
          <w:lang w:val="en-US" w:eastAsia="zh-CN"/>
        </w:rPr>
      </w:pPr>
      <w:r>
        <w:rPr>
          <w:rFonts w:hint="eastAsia" w:ascii="仿宋" w:hAnsi="仿宋" w:eastAsia="仿宋" w:cs="Times New Roman"/>
          <w:sz w:val="24"/>
          <w:szCs w:val="24"/>
          <w:lang w:val="en-US" w:eastAsia="zh-CN"/>
        </w:rPr>
        <w:t>年    月    日</w:t>
      </w:r>
    </w:p>
    <w:sectPr>
      <w:pgSz w:w="16838" w:h="11906" w:orient="landscape"/>
      <w:pgMar w:top="850" w:right="1134" w:bottom="850" w:left="1134" w:header="851" w:footer="992" w:gutter="0"/>
      <w:cols w:space="0" w:num="1"/>
      <w:rtlGutter w:val="0"/>
      <w:docGrid w:type="lines" w:linePitch="32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62"/>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436"/>
    <w:rsid w:val="00D36436"/>
    <w:rsid w:val="00EB4F5A"/>
    <w:rsid w:val="01591121"/>
    <w:rsid w:val="01A16B66"/>
    <w:rsid w:val="022740E5"/>
    <w:rsid w:val="029D3D36"/>
    <w:rsid w:val="02AC11B7"/>
    <w:rsid w:val="033A2D35"/>
    <w:rsid w:val="036069E0"/>
    <w:rsid w:val="066B58A9"/>
    <w:rsid w:val="091A000E"/>
    <w:rsid w:val="0A6B333E"/>
    <w:rsid w:val="0B4C7D97"/>
    <w:rsid w:val="0FA02DD5"/>
    <w:rsid w:val="0FA35607"/>
    <w:rsid w:val="1A9051FB"/>
    <w:rsid w:val="1AB214A6"/>
    <w:rsid w:val="1B7C5CD7"/>
    <w:rsid w:val="23351A16"/>
    <w:rsid w:val="2E064B59"/>
    <w:rsid w:val="2FB27F27"/>
    <w:rsid w:val="314034EC"/>
    <w:rsid w:val="353F4746"/>
    <w:rsid w:val="3DE15690"/>
    <w:rsid w:val="41707851"/>
    <w:rsid w:val="460F3CFF"/>
    <w:rsid w:val="475134F1"/>
    <w:rsid w:val="483713FE"/>
    <w:rsid w:val="48712816"/>
    <w:rsid w:val="4CCF7D54"/>
    <w:rsid w:val="4D900276"/>
    <w:rsid w:val="4F695084"/>
    <w:rsid w:val="573C785B"/>
    <w:rsid w:val="57795700"/>
    <w:rsid w:val="593A1D49"/>
    <w:rsid w:val="5B921883"/>
    <w:rsid w:val="62AF76CF"/>
    <w:rsid w:val="63D87027"/>
    <w:rsid w:val="697C5547"/>
    <w:rsid w:val="6DC214AD"/>
    <w:rsid w:val="6F462109"/>
    <w:rsid w:val="70E2799F"/>
    <w:rsid w:val="76F53495"/>
    <w:rsid w:val="7D2D4E39"/>
    <w:rsid w:val="7E67174C"/>
    <w:rsid w:val="7F2E4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ody Text Indent"/>
    <w:basedOn w:val="1"/>
    <w:link w:val="6"/>
    <w:qFormat/>
    <w:uiPriority w:val="99"/>
    <w:pPr>
      <w:ind w:firstLine="630"/>
    </w:pPr>
    <w:rPr>
      <w:rFonts w:ascii="Times New Roman" w:hAnsi="Times New Roman" w:eastAsia="仿宋_GB2312" w:cs="Times New Roman"/>
      <w:sz w:val="32"/>
      <w:szCs w:val="32"/>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6">
    <w:name w:val="正文文本缩进 Char"/>
    <w:basedOn w:val="3"/>
    <w:link w:val="2"/>
    <w:qFormat/>
    <w:uiPriority w:val="99"/>
    <w:rPr>
      <w:rFonts w:ascii="Times New Roman" w:hAnsi="Times New Roman" w:eastAsia="仿宋_GB2312" w:cs="Times New Roman"/>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273</Words>
  <Characters>1558</Characters>
  <Lines>12</Lines>
  <Paragraphs>3</Paragraphs>
  <TotalTime>1</TotalTime>
  <ScaleCrop>false</ScaleCrop>
  <LinksUpToDate>false</LinksUpToDate>
  <CharactersWithSpaces>1828</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2018-07-18T03:54:00Z</dcterms:created>
  <dc:creator>Lenovo</dc:creator>
  <cp:lastModifiedBy>南宫布衣</cp:lastModifiedBy>
  <dcterms:modified xsi:type="dcterms:W3CDTF">2018-12-27T07:22:45Z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